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A04D4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Toc24273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  <w:t>融水苗族自治县人民医院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零星基建维修定点服务项目</w:t>
      </w:r>
    </w:p>
    <w:p w14:paraId="6C70AE38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综合</w:t>
      </w:r>
      <w:bookmarkEnd w:id="0"/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评分标准</w:t>
      </w:r>
    </w:p>
    <w:tbl>
      <w:tblPr>
        <w:tblStyle w:val="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1621"/>
        <w:gridCol w:w="1020"/>
        <w:gridCol w:w="5377"/>
      </w:tblGrid>
      <w:tr w14:paraId="22CED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bottom w:val="single" w:color="auto" w:sz="4" w:space="0"/>
            </w:tcBorders>
            <w:noWrap w:val="0"/>
            <w:vAlign w:val="center"/>
          </w:tcPr>
          <w:p w14:paraId="449EC4EA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212" w:type="dxa"/>
            <w:tcBorders>
              <w:bottom w:val="single" w:color="auto" w:sz="4" w:space="0"/>
            </w:tcBorders>
            <w:noWrap w:val="0"/>
            <w:vAlign w:val="center"/>
          </w:tcPr>
          <w:p w14:paraId="15DE90EA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评分大类</w:t>
            </w:r>
          </w:p>
        </w:tc>
        <w:tc>
          <w:tcPr>
            <w:tcW w:w="1621" w:type="dxa"/>
            <w:tcBorders>
              <w:bottom w:val="single" w:color="auto" w:sz="4" w:space="0"/>
            </w:tcBorders>
            <w:noWrap w:val="0"/>
            <w:vAlign w:val="center"/>
          </w:tcPr>
          <w:p w14:paraId="03585804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评分项目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noWrap w:val="0"/>
            <w:vAlign w:val="center"/>
          </w:tcPr>
          <w:p w14:paraId="25429B4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分值</w:t>
            </w:r>
          </w:p>
        </w:tc>
        <w:tc>
          <w:tcPr>
            <w:tcW w:w="5377" w:type="dxa"/>
            <w:tcBorders>
              <w:bottom w:val="single" w:color="auto" w:sz="4" w:space="0"/>
            </w:tcBorders>
            <w:noWrap w:val="0"/>
            <w:vAlign w:val="center"/>
          </w:tcPr>
          <w:p w14:paraId="5A821D03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评分标准</w:t>
            </w:r>
          </w:p>
        </w:tc>
      </w:tr>
      <w:tr w14:paraId="6137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451E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6E85E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价格部分（30 分）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C3DF2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投标报价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1938F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9C5A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 以有效响应文件的最高下浮费率为基准价，基准价得满分 30 分；2. 其他供应商的报价得分 =（供应商下浮费率 / 最高下浮费率）×30；3. 下浮费率低于 0% 的，视为无效报价，不得分。</w:t>
            </w:r>
          </w:p>
        </w:tc>
      </w:tr>
      <w:tr w14:paraId="1D5B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03BA3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B5CAF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技术部分（35 分）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14714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项目实施方案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97F87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23084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方案完整、合理，针对性强，完全满足项目需求的，得 8-10 分；方案基本完整，能满足项目需求的，得 5-7 分；方案不完善，存在明显缺陷的，得 0-4 分。</w:t>
            </w:r>
          </w:p>
        </w:tc>
      </w:tr>
      <w:tr w14:paraId="7D708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04B00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A7C1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60A82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施工组织及质量保障方案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B96D8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81006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施工流程规范，质量管控体系完善，质保期服务措施到位，完全满足项目要求的，得 8-10 分；基本满足要求的，得 5-7 分；存在明显缺陷的，得 0-4 分。</w:t>
            </w:r>
          </w:p>
        </w:tc>
      </w:tr>
      <w:tr w14:paraId="5EB5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22732D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784779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22DDEF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安全文明施工方案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7B29B4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5BBDF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安全管理体系完善，防护措施到位，文明施工要求明确，符合医院管理要求的，得 4-5 分；基本符合要求的，得 2-3 分；存在明显缺陷的，得 0-1 分。</w:t>
            </w:r>
          </w:p>
        </w:tc>
      </w:tr>
      <w:tr w14:paraId="55A69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3B7039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FF9816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51F96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应急响应服务方案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34FBA8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37ABC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7×24 小时服务机制完善，响应流程清晰，应急人员、物资保障到位，完全满足医院应急需求的，得 4-5 分；基本满足要求的，得 2-3 分；存在明显缺陷的，得 0-1 分。</w:t>
            </w:r>
          </w:p>
        </w:tc>
      </w:tr>
      <w:tr w14:paraId="5D261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B5550B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D47872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63874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人员配置方案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0962D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E57E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常驻服务团队配置合理，人员资质齐全，岗位职责明确，完全满足项目需求的，得 4-5 分；基本满足要求的，得 2-3 分；配置不足的，得 0-1 分。</w:t>
            </w:r>
          </w:p>
        </w:tc>
      </w:tr>
      <w:tr w14:paraId="00D92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3881E7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C23591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商务部分（25 分）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F00E77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企业资质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4A2E2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BA47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建筑工程施工总承包三级及以上资质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，或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建筑装修装饰工程专业承包二级及以上资质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，同时具备有效的安全生产许可证得5分，不具备不得分。</w:t>
            </w:r>
          </w:p>
        </w:tc>
      </w:tr>
      <w:tr w14:paraId="272C2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677B4A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3D6A92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0E463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同类项目业绩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70E098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6900C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近 3 年（2023 年 6 月至今）具备医院同类零星基建维修、小型建筑工程施工项目业绩的，每提供 1 个得 4 分，满分 12 分；需提供合同复印件，否则不计分。</w:t>
            </w:r>
          </w:p>
        </w:tc>
      </w:tr>
      <w:tr w14:paraId="7A01B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1E779F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2D1934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293459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1"/>
                <w:szCs w:val="21"/>
              </w:rPr>
              <w:t>企业信用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3EE712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3886E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近 3 年无任何违法违规记录、无不良信用记录的，得 3 分；有 1 条一般不良信用记录的，得 1 分；有重大不良信用记录的，得 0 分。</w:t>
            </w:r>
          </w:p>
        </w:tc>
      </w:tr>
      <w:tr w14:paraId="62452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2812A6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CCC962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F5A6C2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本地化服务能力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BB677E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627EF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在融水苗族自治县内有固定经营场所、常驻服务团队的，得 5 分；在柳州市内有固定经营场所的，得 3 分；在广西区内有固定经营场所的，得 1 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</w:t>
            </w:r>
          </w:p>
        </w:tc>
      </w:tr>
      <w:tr w14:paraId="35372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3" w:hRule="atLeast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9AB227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B80704"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服务承诺及其他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B6EBDD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服务承诺及其他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8D186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5AB5E1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服务承诺全面、具体，完全满足项目需求，有明确的违约赔偿承诺的，得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8-10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分；基本满足要求的，得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4-7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分；承诺不明确的，得 0-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分。</w:t>
            </w:r>
          </w:p>
        </w:tc>
      </w:tr>
      <w:tr w14:paraId="7A212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2" w:hRule="atLeast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388907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008207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——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4C036A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5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1F1A55">
            <w:pPr>
              <w:keepNext w:val="0"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——</w:t>
            </w:r>
          </w:p>
        </w:tc>
      </w:tr>
    </w:tbl>
    <w:p w14:paraId="46126024">
      <w:pPr>
        <w:tabs>
          <w:tab w:val="left" w:pos="1956"/>
        </w:tabs>
        <w:bidi w:val="0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 w14:paraId="0CB53B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评审流程</w:t>
      </w:r>
    </w:p>
    <w:p w14:paraId="668A0BA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1.</w:t>
      </w:r>
      <w:r>
        <w:rPr>
          <w:color w:val="000000"/>
          <w:sz w:val="24"/>
          <w:szCs w:val="24"/>
        </w:rPr>
        <w:t>资格性审查：磋商小组对所有响应文件进行资格性审查，确定有效响应供应商名单；</w:t>
      </w:r>
    </w:p>
    <w:p w14:paraId="39B29D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2.</w:t>
      </w:r>
      <w:r>
        <w:rPr>
          <w:color w:val="000000"/>
          <w:sz w:val="24"/>
          <w:szCs w:val="24"/>
        </w:rPr>
        <w:t>磋商：磋商小组与有效响应供应商进行一对一磋商，供应商可根据磋商情况对响应文件进行补充、修改，提交最终报价；</w:t>
      </w:r>
    </w:p>
    <w:p w14:paraId="58EA8E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3.</w:t>
      </w:r>
      <w:r>
        <w:rPr>
          <w:color w:val="000000"/>
          <w:sz w:val="24"/>
          <w:szCs w:val="24"/>
        </w:rPr>
        <w:t>评分：磋商小组按本评分标准，对有效响应文件进行独立打分，汇总计算各供应商的最终得分；</w:t>
      </w:r>
    </w:p>
    <w:p w14:paraId="015DF80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4.</w:t>
      </w:r>
      <w:r>
        <w:rPr>
          <w:color w:val="000000"/>
          <w:sz w:val="24"/>
          <w:szCs w:val="24"/>
        </w:rPr>
        <w:t>排序：最终得分从高到低排序，推荐中标候选人；</w:t>
      </w:r>
    </w:p>
    <w:p w14:paraId="7DF315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5.</w:t>
      </w:r>
      <w:r>
        <w:rPr>
          <w:color w:val="000000"/>
          <w:sz w:val="24"/>
          <w:szCs w:val="24"/>
        </w:rPr>
        <w:t>出具评审报告：磋商小组完成评审后，出具正式的评审报告。</w:t>
      </w:r>
    </w:p>
    <w:p w14:paraId="5413B703"/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133BE"/>
    <w:rsid w:val="3BE466F8"/>
    <w:rsid w:val="5D51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rFonts w:ascii="Times New Roman" w:hAnsi="Times New Roman" w:eastAsia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1077</Words>
  <Characters>1142</Characters>
  <Lines>0</Lines>
  <Paragraphs>0</Paragraphs>
  <TotalTime>1</TotalTime>
  <ScaleCrop>false</ScaleCrop>
  <LinksUpToDate>false</LinksUpToDate>
  <CharactersWithSpaces>1218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2026-06-11T09:16:00Z</dcterms:created>
  <dc:creator>无心人</dc:creator>
  <cp:lastModifiedBy>无心人</cp:lastModifiedBy>
  <dcterms:modified xsi:type="dcterms:W3CDTF">2026-06-12T00:49:29Z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9B94CDB86E804BA8B45689135AD374DD_11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